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E5" w:rsidRDefault="00587DE5" w:rsidP="00285D46">
      <w:pPr>
        <w:pStyle w:val="Heading2"/>
        <w:jc w:val="center"/>
      </w:pPr>
      <w:r>
        <w:t xml:space="preserve">Довідка </w:t>
      </w:r>
    </w:p>
    <w:p w:rsidR="00587DE5" w:rsidRDefault="00587DE5" w:rsidP="00285D46">
      <w:pPr>
        <w:pStyle w:val="Heading2"/>
        <w:jc w:val="center"/>
      </w:pPr>
      <w:r>
        <w:t>про підсумки роботи щодо розгляду</w:t>
      </w:r>
    </w:p>
    <w:p w:rsidR="00587DE5" w:rsidRDefault="00587DE5" w:rsidP="00285D46">
      <w:pPr>
        <w:pStyle w:val="Heading2"/>
        <w:jc w:val="center"/>
      </w:pPr>
      <w:r>
        <w:t>звернень громадян за  І квартал 201</w:t>
      </w:r>
      <w:r w:rsidRPr="009C2D94">
        <w:rPr>
          <w:lang w:val="ru-RU"/>
        </w:rPr>
        <w:t>5</w:t>
      </w:r>
      <w:r>
        <w:t xml:space="preserve"> року</w:t>
      </w:r>
    </w:p>
    <w:p w:rsidR="00587DE5" w:rsidRDefault="00587DE5" w:rsidP="00891E29">
      <w:pPr>
        <w:pStyle w:val="BodyText2"/>
      </w:pPr>
    </w:p>
    <w:p w:rsidR="00587DE5" w:rsidRDefault="00587DE5" w:rsidP="00891E29">
      <w:pPr>
        <w:ind w:firstLine="708"/>
        <w:jc w:val="both"/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 та місцевого самоврядування, підвищення ефективності роботи із зверненнями громадян у</w:t>
      </w:r>
      <w:r>
        <w:rPr>
          <w:sz w:val="28"/>
          <w:szCs w:val="28"/>
        </w:rPr>
        <w:t xml:space="preserve"> І кварталі 201</w:t>
      </w:r>
      <w:r w:rsidRPr="009C2D94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року райдержадміністрацією, органами місцевого самоврядування району здійснено ряд конкретних заходів, направлених на виконання вимог Закону України  „Про звернення громадян”, Указу Президента України від 7 лютого 2008 року № 109/2008 „Про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самоврядування”.</w:t>
      </w:r>
    </w:p>
    <w:p w:rsidR="00587DE5" w:rsidRPr="009C2D94" w:rsidRDefault="00587DE5" w:rsidP="0057588B">
      <w:pPr>
        <w:pStyle w:val="BodyText2"/>
        <w:ind w:firstLine="708"/>
        <w:jc w:val="both"/>
        <w:rPr>
          <w:b w:val="0"/>
          <w:color w:val="FF6600"/>
        </w:rPr>
      </w:pPr>
      <w:r w:rsidRPr="008A6203">
        <w:rPr>
          <w:b w:val="0"/>
          <w:color w:val="000000"/>
        </w:rPr>
        <w:t xml:space="preserve">Проведений аналіз засвідчив, що за </w:t>
      </w:r>
      <w:r w:rsidRPr="008A6203">
        <w:rPr>
          <w:b w:val="0"/>
        </w:rPr>
        <w:t xml:space="preserve"> І квартал</w:t>
      </w:r>
      <w:r>
        <w:rPr>
          <w:b w:val="0"/>
        </w:rPr>
        <w:t xml:space="preserve"> 201</w:t>
      </w:r>
      <w:r w:rsidRPr="009C2D94">
        <w:rPr>
          <w:b w:val="0"/>
        </w:rPr>
        <w:t>5</w:t>
      </w:r>
      <w:r w:rsidRPr="008A6203">
        <w:rPr>
          <w:b w:val="0"/>
        </w:rPr>
        <w:t xml:space="preserve"> року</w:t>
      </w:r>
      <w:r>
        <w:rPr>
          <w:b w:val="0"/>
        </w:rPr>
        <w:t xml:space="preserve"> безпосередньо до райдержадміністрації від жителів району та через органи влади вищого рівня надійшло - </w:t>
      </w:r>
      <w:r w:rsidRPr="0057588B">
        <w:rPr>
          <w:b w:val="0"/>
          <w:color w:val="000000"/>
        </w:rPr>
        <w:t>375 звернень громадян, що на 273 звернення більше  у порівнянні до аналогічного періоду минулого року. З них на особистому прийомі зареєстровано – 24 звернення, письмових - 351.</w:t>
      </w:r>
      <w:r w:rsidRPr="009C2D94">
        <w:rPr>
          <w:b w:val="0"/>
          <w:color w:val="FF6600"/>
        </w:rPr>
        <w:t xml:space="preserve"> </w:t>
      </w:r>
    </w:p>
    <w:p w:rsidR="00587DE5" w:rsidRPr="0057588B" w:rsidRDefault="00587DE5" w:rsidP="00891E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57588B">
        <w:rPr>
          <w:color w:val="000000"/>
          <w:sz w:val="28"/>
          <w:szCs w:val="28"/>
        </w:rPr>
        <w:t>Громадяни зверт</w:t>
      </w:r>
      <w:r>
        <w:rPr>
          <w:color w:val="000000"/>
          <w:sz w:val="28"/>
          <w:szCs w:val="28"/>
        </w:rPr>
        <w:t>алися передусім із заявами – 97,</w:t>
      </w:r>
      <w:r w:rsidRPr="0057588B">
        <w:rPr>
          <w:color w:val="000000"/>
          <w:sz w:val="28"/>
          <w:szCs w:val="28"/>
        </w:rPr>
        <w:t>87</w:t>
      </w:r>
      <w:r w:rsidRPr="0057588B">
        <w:rPr>
          <w:iCs/>
          <w:color w:val="000000"/>
          <w:sz w:val="28"/>
          <w:szCs w:val="28"/>
        </w:rPr>
        <w:t xml:space="preserve">% </w:t>
      </w:r>
      <w:r w:rsidRPr="0057588B">
        <w:rPr>
          <w:color w:val="000000"/>
          <w:sz w:val="28"/>
          <w:szCs w:val="28"/>
        </w:rPr>
        <w:t>від загальної кількості звернень, а також скаргами – 1,</w:t>
      </w:r>
      <w:r>
        <w:rPr>
          <w:color w:val="000000"/>
          <w:sz w:val="28"/>
          <w:szCs w:val="28"/>
          <w:lang w:val="ru-RU"/>
        </w:rPr>
        <w:t>0</w:t>
      </w:r>
      <w:r w:rsidRPr="00FD2E98">
        <w:rPr>
          <w:color w:val="000000"/>
          <w:sz w:val="28"/>
          <w:szCs w:val="28"/>
          <w:lang w:val="ru-RU"/>
        </w:rPr>
        <w:t>9</w:t>
      </w:r>
      <w:r w:rsidRPr="0057588B">
        <w:rPr>
          <w:color w:val="000000"/>
          <w:sz w:val="28"/>
          <w:szCs w:val="28"/>
        </w:rPr>
        <w:t xml:space="preserve"> %. За результатами роз</w:t>
      </w:r>
      <w:r>
        <w:rPr>
          <w:color w:val="000000"/>
          <w:sz w:val="28"/>
          <w:szCs w:val="28"/>
        </w:rPr>
        <w:t>гляду вирішено позитивно – 16,2</w:t>
      </w:r>
      <w:r w:rsidRPr="00FD2E98">
        <w:rPr>
          <w:color w:val="000000"/>
          <w:sz w:val="28"/>
          <w:szCs w:val="28"/>
          <w:lang w:val="ru-RU"/>
        </w:rPr>
        <w:t>7</w:t>
      </w:r>
      <w:r w:rsidRPr="0057588B">
        <w:rPr>
          <w:color w:val="000000"/>
          <w:sz w:val="28"/>
          <w:szCs w:val="28"/>
        </w:rPr>
        <w:t xml:space="preserve"> % звернень, роз'яснено – 21,6 %.</w:t>
      </w:r>
    </w:p>
    <w:p w:rsidR="00587DE5" w:rsidRPr="0057588B" w:rsidRDefault="00587DE5" w:rsidP="00891E2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7588B">
        <w:rPr>
          <w:color w:val="000000"/>
          <w:sz w:val="28"/>
          <w:szCs w:val="28"/>
        </w:rPr>
        <w:tab/>
        <w:t>Колективних звернень надійшло 14, що становить 3,73 % від загальної кількості,    за звітний період надійшло 1 повторне зверне</w:t>
      </w:r>
      <w:r>
        <w:rPr>
          <w:color w:val="000000"/>
          <w:sz w:val="28"/>
          <w:szCs w:val="28"/>
        </w:rPr>
        <w:t>н</w:t>
      </w:r>
      <w:r w:rsidRPr="0057588B">
        <w:rPr>
          <w:color w:val="000000"/>
          <w:sz w:val="28"/>
          <w:szCs w:val="28"/>
        </w:rPr>
        <w:t>ня.</w:t>
      </w:r>
    </w:p>
    <w:p w:rsidR="00587DE5" w:rsidRDefault="00587DE5" w:rsidP="00891E29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 w:rsidRPr="000F4990">
        <w:rPr>
          <w:sz w:val="28"/>
          <w:szCs w:val="28"/>
        </w:rPr>
        <w:t xml:space="preserve">а засіданні колегії райдержадміністрації </w:t>
      </w:r>
      <w:r>
        <w:rPr>
          <w:sz w:val="28"/>
          <w:szCs w:val="28"/>
        </w:rPr>
        <w:t xml:space="preserve">06.03.2015 року </w:t>
      </w:r>
      <w:r w:rsidRPr="000F4990">
        <w:rPr>
          <w:sz w:val="28"/>
          <w:szCs w:val="28"/>
        </w:rPr>
        <w:t>розглянуто питання «</w:t>
      </w:r>
      <w:r>
        <w:rPr>
          <w:sz w:val="28"/>
          <w:szCs w:val="28"/>
        </w:rPr>
        <w:t xml:space="preserve">Про підсумки </w:t>
      </w:r>
      <w:r>
        <w:rPr>
          <w:bCs/>
          <w:sz w:val="28"/>
          <w:szCs w:val="28"/>
        </w:rPr>
        <w:t>роботи із зверненнями громадян у 201</w:t>
      </w:r>
      <w:r w:rsidRPr="009C2D9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році відповідно до вимог Указу Президента України від 07.02.2008 року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587DE5" w:rsidRDefault="00587DE5" w:rsidP="002A724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результатами</w:t>
      </w:r>
      <w:r w:rsidRPr="00D6657A">
        <w:rPr>
          <w:bCs/>
          <w:sz w:val="28"/>
          <w:szCs w:val="28"/>
        </w:rPr>
        <w:t xml:space="preserve"> розгляду вищевказаного пит</w:t>
      </w:r>
      <w:r>
        <w:rPr>
          <w:bCs/>
          <w:sz w:val="28"/>
          <w:szCs w:val="28"/>
        </w:rPr>
        <w:t>ання видане розпорядження</w:t>
      </w:r>
      <w:r w:rsidRPr="00D665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райдержадміністрації</w:t>
      </w:r>
      <w:r w:rsidRPr="00D6657A">
        <w:rPr>
          <w:bCs/>
          <w:sz w:val="28"/>
          <w:szCs w:val="28"/>
        </w:rPr>
        <w:t xml:space="preserve"> </w:t>
      </w:r>
      <w:r w:rsidRPr="00EF6BAB">
        <w:rPr>
          <w:sz w:val="28"/>
          <w:szCs w:val="28"/>
        </w:rPr>
        <w:t>від 11.03.2015 року №</w:t>
      </w:r>
      <w:r>
        <w:rPr>
          <w:sz w:val="28"/>
          <w:szCs w:val="28"/>
        </w:rPr>
        <w:t xml:space="preserve"> 94</w:t>
      </w:r>
      <w:r w:rsidRPr="000F499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Про підсумки </w:t>
      </w:r>
      <w:r>
        <w:rPr>
          <w:bCs/>
          <w:sz w:val="28"/>
          <w:szCs w:val="28"/>
        </w:rPr>
        <w:t>роботи із зверненнями громадян у 201</w:t>
      </w:r>
      <w:r w:rsidRPr="00AC3E7D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році відповідно до вимог Указу Президента України від 07.02.2008 року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</w:t>
      </w:r>
    </w:p>
    <w:p w:rsidR="00587DE5" w:rsidRPr="009C2D94" w:rsidRDefault="00587DE5" w:rsidP="00891E29">
      <w:pPr>
        <w:ind w:firstLine="708"/>
        <w:jc w:val="both"/>
        <w:rPr>
          <w:color w:val="FF6600"/>
          <w:sz w:val="28"/>
          <w:szCs w:val="28"/>
        </w:rPr>
      </w:pPr>
      <w:r w:rsidRPr="005E4AD3">
        <w:rPr>
          <w:sz w:val="28"/>
          <w:szCs w:val="28"/>
        </w:rPr>
        <w:t xml:space="preserve">Для оперативного отримання мешканцями району інформації з питань, що їх турбують, при райдержадміністрації діє </w:t>
      </w:r>
      <w:r w:rsidRPr="005E4AD3">
        <w:rPr>
          <w:color w:val="000000"/>
          <w:sz w:val="28"/>
          <w:szCs w:val="28"/>
        </w:rPr>
        <w:t>"</w:t>
      </w:r>
      <w:r w:rsidRPr="005E4AD3">
        <w:rPr>
          <w:sz w:val="28"/>
          <w:szCs w:val="28"/>
        </w:rPr>
        <w:t>гаряча</w:t>
      </w:r>
      <w:r w:rsidRPr="005E4AD3">
        <w:rPr>
          <w:color w:val="000000"/>
          <w:sz w:val="28"/>
          <w:szCs w:val="28"/>
        </w:rPr>
        <w:t>"</w:t>
      </w:r>
      <w:r w:rsidRPr="005E4AD3">
        <w:rPr>
          <w:sz w:val="28"/>
          <w:szCs w:val="28"/>
        </w:rPr>
        <w:t xml:space="preserve"> телефонна лінія.           </w:t>
      </w:r>
      <w:r w:rsidRPr="005E4AD3">
        <w:rPr>
          <w:color w:val="000000"/>
          <w:sz w:val="28"/>
          <w:szCs w:val="28"/>
        </w:rPr>
        <w:t xml:space="preserve">Протягом </w:t>
      </w:r>
      <w:r>
        <w:rPr>
          <w:sz w:val="28"/>
          <w:szCs w:val="28"/>
        </w:rPr>
        <w:t>І кварталу 201</w:t>
      </w:r>
      <w:r w:rsidRPr="009C2D94">
        <w:rPr>
          <w:sz w:val="28"/>
          <w:szCs w:val="28"/>
        </w:rPr>
        <w:t>5</w:t>
      </w:r>
      <w:r w:rsidRPr="005E4AD3">
        <w:rPr>
          <w:sz w:val="28"/>
          <w:szCs w:val="28"/>
        </w:rPr>
        <w:t xml:space="preserve"> року</w:t>
      </w:r>
      <w:r w:rsidRPr="005E4AD3">
        <w:rPr>
          <w:color w:val="000000"/>
          <w:sz w:val="28"/>
          <w:szCs w:val="28"/>
        </w:rPr>
        <w:t xml:space="preserve"> на "гарячу" телефонну лінію</w:t>
      </w:r>
      <w:r>
        <w:rPr>
          <w:color w:val="000000"/>
          <w:sz w:val="28"/>
          <w:szCs w:val="28"/>
        </w:rPr>
        <w:t xml:space="preserve"> райдержадміністрації надійшло </w:t>
      </w:r>
      <w:r w:rsidRPr="009A1851">
        <w:rPr>
          <w:color w:val="000000"/>
          <w:sz w:val="28"/>
          <w:szCs w:val="28"/>
        </w:rPr>
        <w:t>10 телефонних дзвінків від жителів району</w:t>
      </w:r>
      <w:r w:rsidRPr="009C2D94">
        <w:rPr>
          <w:color w:val="FF6600"/>
          <w:sz w:val="28"/>
          <w:szCs w:val="28"/>
        </w:rPr>
        <w:t>,</w:t>
      </w:r>
      <w:r>
        <w:rPr>
          <w:color w:val="FF6600"/>
          <w:sz w:val="28"/>
          <w:szCs w:val="28"/>
        </w:rPr>
        <w:t xml:space="preserve"> </w:t>
      </w:r>
      <w:r w:rsidRPr="009A1851">
        <w:rPr>
          <w:color w:val="000000"/>
          <w:sz w:val="28"/>
          <w:szCs w:val="28"/>
        </w:rPr>
        <w:t>що на 5 звернень більше у порівнянні до аналогічного періоду минулого року.</w:t>
      </w:r>
      <w:r w:rsidRPr="009C2D94">
        <w:rPr>
          <w:color w:val="FF6600"/>
          <w:sz w:val="28"/>
          <w:szCs w:val="28"/>
        </w:rPr>
        <w:t xml:space="preserve"> </w:t>
      </w:r>
      <w:r w:rsidRPr="009A1851">
        <w:rPr>
          <w:color w:val="000000"/>
          <w:sz w:val="28"/>
          <w:szCs w:val="28"/>
        </w:rPr>
        <w:t>Громадяни зверталися по питаннях</w:t>
      </w:r>
      <w:r>
        <w:rPr>
          <w:color w:val="FF6600"/>
          <w:sz w:val="28"/>
          <w:szCs w:val="28"/>
        </w:rPr>
        <w:t xml:space="preserve"> </w:t>
      </w:r>
      <w:r w:rsidRPr="009A1851">
        <w:rPr>
          <w:color w:val="000000"/>
          <w:sz w:val="28"/>
          <w:szCs w:val="28"/>
        </w:rPr>
        <w:t>соціального захисту, цін на продукти харчування</w:t>
      </w:r>
      <w:r>
        <w:rPr>
          <w:color w:val="000000"/>
          <w:sz w:val="28"/>
          <w:szCs w:val="28"/>
        </w:rPr>
        <w:t>, благоустрою населених пунктів.</w:t>
      </w:r>
      <w:r>
        <w:rPr>
          <w:color w:val="FF6600"/>
          <w:sz w:val="28"/>
          <w:szCs w:val="28"/>
        </w:rPr>
        <w:t xml:space="preserve"> </w:t>
      </w:r>
    </w:p>
    <w:p w:rsidR="00587DE5" w:rsidRDefault="00587DE5" w:rsidP="00891E29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  <w:szCs w:val="28"/>
        </w:rPr>
        <w:t>Звернення громадян, що надходять на "гарячу" телефонну лінію реєструються в день їх надходження у журналі реєстрації звернень громадян та реєстраційно-контрольних картках відповідної форми. Згідно резолюцій керівництва розглянуті відповідними виконавцями.</w:t>
      </w:r>
    </w:p>
    <w:p w:rsidR="00587DE5" w:rsidRPr="006254D0" w:rsidRDefault="00587DE5" w:rsidP="00891E29">
      <w:pPr>
        <w:pStyle w:val="BodyText"/>
        <w:spacing w:after="0"/>
        <w:ind w:firstLine="709"/>
        <w:jc w:val="both"/>
        <w:rPr>
          <w:sz w:val="28"/>
          <w:szCs w:val="28"/>
          <w:lang w:val="uk-UA"/>
        </w:rPr>
      </w:pPr>
      <w:r w:rsidRPr="00F443E3">
        <w:rPr>
          <w:sz w:val="28"/>
          <w:szCs w:val="28"/>
          <w:lang w:val="uk-UA"/>
        </w:rPr>
        <w:t xml:space="preserve">На урядову телефонну </w:t>
      </w:r>
      <w:r w:rsidRPr="00F443E3">
        <w:rPr>
          <w:color w:val="000000"/>
          <w:sz w:val="28"/>
          <w:szCs w:val="28"/>
          <w:lang w:val="uk-UA"/>
        </w:rPr>
        <w:t>"</w:t>
      </w:r>
      <w:r w:rsidRPr="00F443E3">
        <w:rPr>
          <w:sz w:val="28"/>
          <w:szCs w:val="28"/>
          <w:lang w:val="uk-UA"/>
        </w:rPr>
        <w:t>гарячу</w:t>
      </w:r>
      <w:r w:rsidRPr="00F443E3">
        <w:rPr>
          <w:color w:val="000000"/>
          <w:sz w:val="28"/>
          <w:szCs w:val="28"/>
          <w:lang w:val="uk-UA"/>
        </w:rPr>
        <w:t>"</w:t>
      </w:r>
      <w:r w:rsidRPr="00F443E3">
        <w:rPr>
          <w:sz w:val="28"/>
          <w:szCs w:val="28"/>
          <w:lang w:val="uk-UA"/>
        </w:rPr>
        <w:t xml:space="preserve"> лінію </w:t>
      </w:r>
      <w:r>
        <w:rPr>
          <w:sz w:val="28"/>
          <w:szCs w:val="28"/>
          <w:lang w:val="uk-UA"/>
        </w:rPr>
        <w:t>у І кварталі 201</w:t>
      </w:r>
      <w:r w:rsidRPr="00CD4D99">
        <w:rPr>
          <w:sz w:val="28"/>
          <w:szCs w:val="28"/>
          <w:lang w:val="uk-UA"/>
        </w:rPr>
        <w:t>5</w:t>
      </w:r>
      <w:r w:rsidRPr="00F443E3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             </w:t>
      </w:r>
      <w:r w:rsidRPr="009A1851">
        <w:rPr>
          <w:color w:val="000000"/>
          <w:sz w:val="28"/>
          <w:szCs w:val="28"/>
          <w:lang w:val="uk-UA"/>
        </w:rPr>
        <w:t>надійшло 98 звернень, що на 64 звернення більше у порівнянні до аналогічного  періоду минулого року.</w:t>
      </w:r>
      <w:r w:rsidRPr="009C2D94">
        <w:rPr>
          <w:color w:val="FF6600"/>
          <w:sz w:val="28"/>
          <w:szCs w:val="28"/>
          <w:lang w:val="uk-UA"/>
        </w:rPr>
        <w:t xml:space="preserve"> </w:t>
      </w:r>
    </w:p>
    <w:p w:rsidR="00587DE5" w:rsidRPr="006254D0" w:rsidRDefault="00587DE5" w:rsidP="00891E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Протягом  І кварталу 201</w:t>
      </w:r>
      <w:r w:rsidRPr="009C2D94">
        <w:rPr>
          <w:sz w:val="28"/>
          <w:szCs w:val="28"/>
          <w:lang w:val="ru-RU"/>
        </w:rPr>
        <w:t>5</w:t>
      </w:r>
      <w:r w:rsidRPr="006254D0">
        <w:rPr>
          <w:sz w:val="28"/>
          <w:szCs w:val="28"/>
        </w:rPr>
        <w:t xml:space="preserve"> року до районної державної адміністрації </w:t>
      </w:r>
      <w:r>
        <w:rPr>
          <w:sz w:val="28"/>
          <w:szCs w:val="28"/>
        </w:rPr>
        <w:t>надійшло 2  запити</w:t>
      </w:r>
      <w:r w:rsidRPr="006254D0">
        <w:rPr>
          <w:sz w:val="28"/>
          <w:szCs w:val="28"/>
        </w:rPr>
        <w:t xml:space="preserve"> на  публічну інформацію.                  </w:t>
      </w:r>
    </w:p>
    <w:p w:rsidR="00587DE5" w:rsidRDefault="00587DE5" w:rsidP="00891E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Усі звернення громадян, що надійшли до райдержадміністрації, перебували на контролі у керівництва та згідно резолюцій розглянуті відповідними виконавцями. В райдержадміністрації створено необхідні умови для прийому громадян, участі заявників у розгляді поданих ними звернень та ознайомленні з матеріалами перевірок під час розгляду звернень. Для прийому громадян виділено окремий кабінет, в якому розміщено інформаційно-довідкові стенди. </w:t>
      </w:r>
    </w:p>
    <w:p w:rsidR="00587DE5" w:rsidRDefault="00587DE5" w:rsidP="00891E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Організаційні</w:t>
      </w:r>
      <w:bookmarkStart w:id="0" w:name="_GoBack"/>
      <w:bookmarkEnd w:id="0"/>
      <w:r>
        <w:rPr>
          <w:sz w:val="28"/>
          <w:szCs w:val="28"/>
        </w:rPr>
        <w:t xml:space="preserve"> заходи районної державної адміністрації сприяють створенню належних умов для розгляду звернень громадян,  роз’ясненню позиції влади щодо вирішення актуальних економічних, соціальних і політичних питань мешканців району, стабілізації суспільно-політичної ситуації. </w:t>
      </w:r>
    </w:p>
    <w:p w:rsidR="00587DE5" w:rsidRDefault="00587DE5" w:rsidP="00891E29">
      <w:pPr>
        <w:ind w:firstLine="708"/>
        <w:jc w:val="both"/>
        <w:rPr>
          <w:sz w:val="28"/>
          <w:szCs w:val="28"/>
        </w:rPr>
      </w:pPr>
    </w:p>
    <w:p w:rsidR="00587DE5" w:rsidRDefault="00587DE5" w:rsidP="00891E29">
      <w:pPr>
        <w:pStyle w:val="BodyTextIndent"/>
        <w:ind w:firstLine="425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Додаток : на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арк</w:t>
      </w:r>
      <w:r>
        <w:rPr>
          <w:sz w:val="28"/>
          <w:szCs w:val="28"/>
          <w:lang w:val="uk-UA"/>
        </w:rPr>
        <w:t>.</w:t>
      </w:r>
    </w:p>
    <w:p w:rsidR="00587DE5" w:rsidRPr="00EA5E39" w:rsidRDefault="00587DE5" w:rsidP="00891E29">
      <w:pPr>
        <w:pStyle w:val="BodyTextIndent"/>
        <w:ind w:firstLine="425"/>
        <w:rPr>
          <w:sz w:val="20"/>
          <w:szCs w:val="20"/>
          <w:lang w:val="uk-UA"/>
        </w:rPr>
      </w:pPr>
    </w:p>
    <w:p w:rsidR="00587DE5" w:rsidRDefault="00587DE5" w:rsidP="00891E29"/>
    <w:p w:rsidR="00587DE5" w:rsidRDefault="00587DE5" w:rsidP="00891E29">
      <w:pPr>
        <w:sectPr w:rsidR="00587D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87DE5" w:rsidRPr="000F4D20" w:rsidRDefault="00587DE5" w:rsidP="00180E1F">
      <w:pPr>
        <w:pStyle w:val="Heading1"/>
        <w:rPr>
          <w:lang w:val="ru-RU"/>
        </w:rPr>
      </w:pPr>
    </w:p>
    <w:p w:rsidR="00587DE5" w:rsidRPr="00180E1F" w:rsidRDefault="00587DE5" w:rsidP="00180E1F">
      <w:pPr>
        <w:pStyle w:val="Heading1"/>
        <w:jc w:val="center"/>
        <w:rPr>
          <w:color w:val="auto"/>
        </w:rPr>
      </w:pPr>
      <w:r w:rsidRPr="00180E1F">
        <w:rPr>
          <w:color w:val="auto"/>
        </w:rPr>
        <w:t>ДАНІ</w:t>
      </w:r>
    </w:p>
    <w:p w:rsidR="00587DE5" w:rsidRPr="00180E1F" w:rsidRDefault="00587DE5" w:rsidP="00180E1F">
      <w:pPr>
        <w:jc w:val="center"/>
        <w:rPr>
          <w:sz w:val="28"/>
          <w:szCs w:val="28"/>
        </w:rPr>
      </w:pPr>
      <w:r w:rsidRPr="00180E1F">
        <w:rPr>
          <w:sz w:val="28"/>
          <w:szCs w:val="28"/>
        </w:rPr>
        <w:t xml:space="preserve">про звернення громадян, що </w:t>
      </w:r>
      <w:r w:rsidRPr="00180E1F">
        <w:rPr>
          <w:b/>
          <w:sz w:val="28"/>
          <w:szCs w:val="28"/>
          <w:u w:val="single"/>
        </w:rPr>
        <w:t>безпосередньо</w:t>
      </w:r>
      <w:r w:rsidRPr="00180E1F">
        <w:rPr>
          <w:sz w:val="28"/>
          <w:szCs w:val="28"/>
        </w:rPr>
        <w:t xml:space="preserve"> надійшли до місцевих державних адміністрацій </w:t>
      </w:r>
    </w:p>
    <w:p w:rsidR="00587DE5" w:rsidRPr="00180E1F" w:rsidRDefault="00587DE5" w:rsidP="00180E1F">
      <w:pPr>
        <w:jc w:val="center"/>
        <w:rPr>
          <w:sz w:val="28"/>
          <w:szCs w:val="28"/>
        </w:rPr>
      </w:pPr>
      <w:r>
        <w:rPr>
          <w:sz w:val="28"/>
          <w:szCs w:val="28"/>
        </w:rPr>
        <w:t>за І квартал 2015</w:t>
      </w:r>
      <w:r w:rsidRPr="00180E1F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в порівнянні з І кварталом 2014</w:t>
      </w:r>
      <w:r w:rsidRPr="00180E1F">
        <w:rPr>
          <w:sz w:val="28"/>
          <w:szCs w:val="28"/>
        </w:rPr>
        <w:t xml:space="preserve"> року</w:t>
      </w:r>
    </w:p>
    <w:p w:rsidR="00587DE5" w:rsidRPr="00180E1F" w:rsidRDefault="00587DE5" w:rsidP="00180E1F">
      <w:pPr>
        <w:jc w:val="center"/>
      </w:pPr>
    </w:p>
    <w:p w:rsidR="00587DE5" w:rsidRDefault="00587DE5" w:rsidP="00180E1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4037"/>
        <w:gridCol w:w="715"/>
        <w:gridCol w:w="715"/>
        <w:gridCol w:w="859"/>
        <w:gridCol w:w="72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  <w:gridCol w:w="845"/>
      </w:tblGrid>
      <w:tr w:rsidR="00587DE5" w:rsidTr="00D73636">
        <w:trPr>
          <w:trHeight w:val="570"/>
        </w:trPr>
        <w:tc>
          <w:tcPr>
            <w:tcW w:w="693" w:type="dxa"/>
            <w:vMerge w:val="restart"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№ з/п</w:t>
            </w:r>
          </w:p>
        </w:tc>
        <w:tc>
          <w:tcPr>
            <w:tcW w:w="4037" w:type="dxa"/>
            <w:vMerge w:val="restart"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Найменування органів виконавчої влади та місцевого самоврядування</w:t>
            </w:r>
          </w:p>
        </w:tc>
        <w:tc>
          <w:tcPr>
            <w:tcW w:w="1430" w:type="dxa"/>
            <w:gridSpan w:val="2"/>
            <w:vMerge w:val="restart"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Кількість усіх звернень</w:t>
            </w:r>
          </w:p>
        </w:tc>
        <w:tc>
          <w:tcPr>
            <w:tcW w:w="1579" w:type="dxa"/>
            <w:gridSpan w:val="2"/>
            <w:vMerge w:val="restart"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Кількість звернень, що надійшли поштою</w:t>
            </w:r>
          </w:p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 xml:space="preserve">(п.1.1) </w:t>
            </w:r>
            <w:r w:rsidRPr="00012E66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Кількість звернень на особистому прийомі</w:t>
            </w:r>
          </w:p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(п.1.2)</w:t>
            </w:r>
          </w:p>
        </w:tc>
        <w:tc>
          <w:tcPr>
            <w:tcW w:w="5885" w:type="dxa"/>
            <w:gridSpan w:val="8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b/>
                <w:sz w:val="20"/>
                <w:szCs w:val="20"/>
              </w:rPr>
              <w:t>Результати розгляду звернень:</w:t>
            </w:r>
          </w:p>
        </w:tc>
      </w:tr>
      <w:tr w:rsidR="00587DE5" w:rsidTr="00D73636">
        <w:trPr>
          <w:trHeight w:val="570"/>
        </w:trPr>
        <w:tc>
          <w:tcPr>
            <w:tcW w:w="693" w:type="dxa"/>
            <w:vMerge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vMerge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  <w:gridSpan w:val="2"/>
            <w:vMerge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вирішено позитивно</w:t>
            </w:r>
          </w:p>
          <w:p w:rsidR="00587DE5" w:rsidRDefault="00587DE5" w:rsidP="00D73636">
            <w:pPr>
              <w:jc w:val="center"/>
            </w:pPr>
            <w:r w:rsidRPr="00012E66">
              <w:rPr>
                <w:sz w:val="20"/>
                <w:szCs w:val="20"/>
              </w:rPr>
              <w:t>п. 9.1</w:t>
            </w:r>
          </w:p>
        </w:tc>
        <w:tc>
          <w:tcPr>
            <w:tcW w:w="1440" w:type="dxa"/>
            <w:gridSpan w:val="2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відмовлено</w:t>
            </w:r>
          </w:p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у задоволенні</w:t>
            </w:r>
          </w:p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п. 9.2</w:t>
            </w:r>
          </w:p>
        </w:tc>
        <w:tc>
          <w:tcPr>
            <w:tcW w:w="1440" w:type="dxa"/>
            <w:gridSpan w:val="2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дано роз’яснення</w:t>
            </w:r>
          </w:p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п. 9.3</w:t>
            </w:r>
          </w:p>
        </w:tc>
        <w:tc>
          <w:tcPr>
            <w:tcW w:w="1565" w:type="dxa"/>
            <w:gridSpan w:val="2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інше</w:t>
            </w:r>
          </w:p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п. 9.4 – 9.6</w:t>
            </w:r>
          </w:p>
        </w:tc>
      </w:tr>
      <w:tr w:rsidR="00587DE5" w:rsidTr="00333128">
        <w:tc>
          <w:tcPr>
            <w:tcW w:w="693" w:type="dxa"/>
            <w:vMerge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7" w:type="dxa"/>
            <w:vMerge/>
            <w:vAlign w:val="center"/>
          </w:tcPr>
          <w:p w:rsidR="00587DE5" w:rsidRPr="00012E66" w:rsidRDefault="00587DE5" w:rsidP="00D73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587DE5" w:rsidRPr="00012E66" w:rsidRDefault="00587DE5" w:rsidP="002C628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15" w:type="dxa"/>
            <w:vAlign w:val="center"/>
          </w:tcPr>
          <w:p w:rsidR="00587DE5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859" w:type="dxa"/>
          </w:tcPr>
          <w:p w:rsidR="00587DE5" w:rsidRPr="00012E66" w:rsidRDefault="00587DE5" w:rsidP="00D7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  <w:vAlign w:val="center"/>
          </w:tcPr>
          <w:p w:rsidR="00587DE5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  <w:vAlign w:val="center"/>
          </w:tcPr>
          <w:p w:rsidR="00587DE5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  <w:vAlign w:val="center"/>
          </w:tcPr>
          <w:p w:rsidR="00587DE5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  <w:vAlign w:val="center"/>
          </w:tcPr>
          <w:p w:rsidR="00587DE5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  <w:vAlign w:val="center"/>
          </w:tcPr>
          <w:p w:rsidR="00587DE5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845" w:type="dxa"/>
            <w:vAlign w:val="center"/>
          </w:tcPr>
          <w:p w:rsidR="00587DE5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D736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</w:tr>
      <w:tr w:rsidR="00587DE5" w:rsidRPr="00012E66" w:rsidTr="00D73636">
        <w:tc>
          <w:tcPr>
            <w:tcW w:w="693" w:type="dxa"/>
            <w:vAlign w:val="center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37" w:type="dxa"/>
            <w:vAlign w:val="center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</w:rPr>
            </w:pPr>
            <w:r w:rsidRPr="00012E6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15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</w:rPr>
            </w:pPr>
            <w:r w:rsidRPr="00012E6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</w:rPr>
            </w:pPr>
            <w:r w:rsidRPr="00012E6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9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</w:rPr>
            </w:pPr>
            <w:r w:rsidRPr="00012E6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20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845" w:type="dxa"/>
          </w:tcPr>
          <w:p w:rsidR="00587DE5" w:rsidRPr="00012E66" w:rsidRDefault="00587DE5" w:rsidP="00D73636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012E66">
              <w:rPr>
                <w:bCs/>
                <w:sz w:val="20"/>
                <w:szCs w:val="20"/>
                <w:lang w:val="en-US"/>
              </w:rPr>
              <w:t>16</w:t>
            </w:r>
          </w:p>
        </w:tc>
      </w:tr>
      <w:tr w:rsidR="00587DE5" w:rsidTr="00D73636">
        <w:tc>
          <w:tcPr>
            <w:tcW w:w="69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1</w:t>
            </w:r>
          </w:p>
        </w:tc>
        <w:tc>
          <w:tcPr>
            <w:tcW w:w="4037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Районні державні адміністрації</w:t>
            </w:r>
          </w:p>
        </w:tc>
        <w:tc>
          <w:tcPr>
            <w:tcW w:w="715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715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859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45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</w:tr>
    </w:tbl>
    <w:p w:rsidR="00587DE5" w:rsidRDefault="00587DE5" w:rsidP="00F80821">
      <w:pPr>
        <w:jc w:val="center"/>
      </w:pPr>
    </w:p>
    <w:p w:rsidR="00587DE5" w:rsidRDefault="00587DE5" w:rsidP="00F808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"/>
        <w:gridCol w:w="616"/>
        <w:gridCol w:w="731"/>
        <w:gridCol w:w="652"/>
        <w:gridCol w:w="720"/>
        <w:gridCol w:w="720"/>
        <w:gridCol w:w="897"/>
        <w:gridCol w:w="723"/>
        <w:gridCol w:w="903"/>
        <w:gridCol w:w="946"/>
        <w:gridCol w:w="992"/>
        <w:gridCol w:w="883"/>
        <w:gridCol w:w="843"/>
        <w:gridCol w:w="1055"/>
        <w:gridCol w:w="1227"/>
        <w:gridCol w:w="1251"/>
        <w:gridCol w:w="1385"/>
      </w:tblGrid>
      <w:tr w:rsidR="00587DE5" w:rsidRPr="00012E66" w:rsidTr="00D73636">
        <w:tc>
          <w:tcPr>
            <w:tcW w:w="808" w:type="dxa"/>
            <w:vMerge w:val="restart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№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з/п</w:t>
            </w:r>
          </w:p>
        </w:tc>
        <w:tc>
          <w:tcPr>
            <w:tcW w:w="14544" w:type="dxa"/>
            <w:gridSpan w:val="16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Кількість звернень, з них:</w:t>
            </w:r>
          </w:p>
        </w:tc>
      </w:tr>
      <w:tr w:rsidR="00587DE5" w:rsidRPr="00012E66" w:rsidTr="00D73636">
        <w:tc>
          <w:tcPr>
            <w:tcW w:w="808" w:type="dxa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повторних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(п.2.2)</w:t>
            </w:r>
          </w:p>
        </w:tc>
        <w:tc>
          <w:tcPr>
            <w:tcW w:w="1372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колективних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(п.5.2)</w:t>
            </w:r>
          </w:p>
        </w:tc>
        <w:tc>
          <w:tcPr>
            <w:tcW w:w="1617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від учасників та інвалідів війни,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учасників бойових дій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 7.1, 7.3, 7.4, 7.5)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від інвалідів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І,ІІ,ІІІ групи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(п.7.7, 7.8, 7.9)</w:t>
            </w:r>
          </w:p>
        </w:tc>
        <w:tc>
          <w:tcPr>
            <w:tcW w:w="1938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від ветеранів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праці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(п.7.6)</w:t>
            </w:r>
          </w:p>
        </w:tc>
        <w:tc>
          <w:tcPr>
            <w:tcW w:w="1726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від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дітей війни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(п.7.2)</w:t>
            </w:r>
          </w:p>
        </w:tc>
        <w:tc>
          <w:tcPr>
            <w:tcW w:w="2282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від членів багатодітних сімей, одиноких матерів, матерів-героїнь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(п.7.11 ,7.12, 7.13)</w:t>
            </w:r>
          </w:p>
        </w:tc>
        <w:tc>
          <w:tcPr>
            <w:tcW w:w="2636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від учасників ліквідації наслідків аварії на ЧАЕС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та осіб, що потерпіли від Чорнобильської катастрофи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(п.7.14, 7.15)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</w:tr>
      <w:tr w:rsidR="00587DE5" w:rsidRPr="00012E66" w:rsidTr="00EB6178">
        <w:tc>
          <w:tcPr>
            <w:tcW w:w="808" w:type="dxa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31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52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897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3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3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4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92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883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843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1055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1227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1251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1385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</w:tr>
      <w:tr w:rsidR="00587DE5" w:rsidRPr="00012E66" w:rsidTr="00D73636">
        <w:tc>
          <w:tcPr>
            <w:tcW w:w="808" w:type="dxa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731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</w:rPr>
              <w:t>1</w:t>
            </w:r>
            <w:r w:rsidRPr="00012E6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52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</w:rPr>
              <w:t>1</w:t>
            </w:r>
            <w:r w:rsidRPr="00012E6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97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72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90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94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8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84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1055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1227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251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385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32</w:t>
            </w:r>
          </w:p>
        </w:tc>
      </w:tr>
      <w:tr w:rsidR="00587DE5" w:rsidRPr="00012E66" w:rsidTr="00D73636">
        <w:tc>
          <w:tcPr>
            <w:tcW w:w="808" w:type="dxa"/>
          </w:tcPr>
          <w:p w:rsidR="00587DE5" w:rsidRPr="00012E66" w:rsidRDefault="00587DE5" w:rsidP="00F80821">
            <w:pPr>
              <w:jc w:val="center"/>
            </w:pPr>
            <w:r w:rsidRPr="00012E66">
              <w:t>1.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1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97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4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5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7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1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587DE5" w:rsidRDefault="00587DE5" w:rsidP="00F80821">
      <w:pPr>
        <w:jc w:val="center"/>
        <w:rPr>
          <w:lang w:val="en-US"/>
        </w:rPr>
      </w:pPr>
    </w:p>
    <w:p w:rsidR="00587DE5" w:rsidRDefault="00587DE5" w:rsidP="00F80821">
      <w:pPr>
        <w:jc w:val="center"/>
        <w:rPr>
          <w:lang w:val="en-US"/>
        </w:rPr>
      </w:pPr>
    </w:p>
    <w:p w:rsidR="00587DE5" w:rsidRDefault="00587DE5" w:rsidP="00F80821">
      <w:pPr>
        <w:jc w:val="center"/>
        <w:rPr>
          <w:lang w:val="en-US"/>
        </w:rPr>
      </w:pPr>
    </w:p>
    <w:p w:rsidR="00587DE5" w:rsidRDefault="00587DE5" w:rsidP="00F80821">
      <w:pPr>
        <w:jc w:val="center"/>
        <w:rPr>
          <w:lang w:val="en-US"/>
        </w:rPr>
      </w:pPr>
    </w:p>
    <w:p w:rsidR="00587DE5" w:rsidRDefault="00587DE5" w:rsidP="00F80821">
      <w:pPr>
        <w:jc w:val="center"/>
        <w:rPr>
          <w:lang w:val="en-US"/>
        </w:rPr>
      </w:pPr>
    </w:p>
    <w:p w:rsidR="00587DE5" w:rsidRPr="009A1851" w:rsidRDefault="00587DE5" w:rsidP="009A1851"/>
    <w:p w:rsidR="00587DE5" w:rsidRPr="00CB053A" w:rsidRDefault="00587DE5" w:rsidP="00F80821">
      <w:pPr>
        <w:jc w:val="center"/>
        <w:rPr>
          <w:lang w:val="en-US"/>
        </w:rPr>
      </w:pPr>
    </w:p>
    <w:p w:rsidR="00587DE5" w:rsidRDefault="00587DE5" w:rsidP="00F808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16"/>
        <w:gridCol w:w="644"/>
        <w:gridCol w:w="720"/>
        <w:gridCol w:w="716"/>
        <w:gridCol w:w="616"/>
        <w:gridCol w:w="688"/>
        <w:gridCol w:w="616"/>
        <w:gridCol w:w="605"/>
        <w:gridCol w:w="36"/>
        <w:gridCol w:w="649"/>
        <w:gridCol w:w="608"/>
        <w:gridCol w:w="27"/>
        <w:gridCol w:w="616"/>
        <w:gridCol w:w="608"/>
        <w:gridCol w:w="27"/>
        <w:gridCol w:w="616"/>
        <w:gridCol w:w="616"/>
        <w:gridCol w:w="696"/>
        <w:gridCol w:w="720"/>
        <w:gridCol w:w="616"/>
        <w:gridCol w:w="647"/>
        <w:gridCol w:w="658"/>
        <w:gridCol w:w="743"/>
        <w:gridCol w:w="639"/>
        <w:gridCol w:w="766"/>
      </w:tblGrid>
      <w:tr w:rsidR="00587DE5" w:rsidRPr="00012E66" w:rsidTr="00D73636">
        <w:tc>
          <w:tcPr>
            <w:tcW w:w="648" w:type="dxa"/>
            <w:vMerge w:val="restart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з/п</w:t>
            </w:r>
          </w:p>
        </w:tc>
        <w:tc>
          <w:tcPr>
            <w:tcW w:w="1260" w:type="dxa"/>
            <w:gridSpan w:val="2"/>
            <w:vMerge w:val="restart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Кількість питань, порушених у зверненнях громадян</w:t>
            </w:r>
          </w:p>
        </w:tc>
        <w:tc>
          <w:tcPr>
            <w:tcW w:w="13249" w:type="dxa"/>
            <w:gridSpan w:val="23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у тому числі питання:</w:t>
            </w:r>
          </w:p>
        </w:tc>
      </w:tr>
      <w:tr w:rsidR="00587DE5" w:rsidRPr="00012E66" w:rsidTr="00D73636">
        <w:tc>
          <w:tcPr>
            <w:tcW w:w="648" w:type="dxa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аграрної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політики і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земельних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відносин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транспорту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і зв’язку</w:t>
            </w:r>
          </w:p>
        </w:tc>
        <w:tc>
          <w:tcPr>
            <w:tcW w:w="1221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фінансової,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податкової,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митної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політики</w:t>
            </w:r>
          </w:p>
        </w:tc>
        <w:tc>
          <w:tcPr>
            <w:tcW w:w="1293" w:type="dxa"/>
            <w:gridSpan w:val="3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соціального захисту</w:t>
            </w:r>
          </w:p>
        </w:tc>
        <w:tc>
          <w:tcPr>
            <w:tcW w:w="1251" w:type="dxa"/>
            <w:gridSpan w:val="3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праці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і заробітної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плати</w:t>
            </w:r>
          </w:p>
        </w:tc>
        <w:tc>
          <w:tcPr>
            <w:tcW w:w="1259" w:type="dxa"/>
            <w:gridSpan w:val="3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охорони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здоров’я</w:t>
            </w:r>
          </w:p>
        </w:tc>
        <w:tc>
          <w:tcPr>
            <w:tcW w:w="1416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комунального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господарства</w:t>
            </w:r>
          </w:p>
        </w:tc>
        <w:tc>
          <w:tcPr>
            <w:tcW w:w="1263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житлової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політики</w:t>
            </w:r>
          </w:p>
        </w:tc>
        <w:tc>
          <w:tcPr>
            <w:tcW w:w="1401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екології та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природних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ресурсів</w:t>
            </w:r>
          </w:p>
        </w:tc>
        <w:tc>
          <w:tcPr>
            <w:tcW w:w="1405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забезпечення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дотримання законності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та охорони правопорядку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</w:tr>
      <w:tr w:rsidR="00587DE5" w:rsidRPr="00012E66" w:rsidTr="001D6B84">
        <w:tc>
          <w:tcPr>
            <w:tcW w:w="648" w:type="dxa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44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16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88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41" w:type="dxa"/>
            <w:gridSpan w:val="2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49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35" w:type="dxa"/>
            <w:gridSpan w:val="2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35" w:type="dxa"/>
            <w:gridSpan w:val="2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16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9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47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58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43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639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66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</w:tr>
      <w:tr w:rsidR="00587DE5" w:rsidRPr="00012E66" w:rsidTr="00D73636">
        <w:tc>
          <w:tcPr>
            <w:tcW w:w="648" w:type="dxa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644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688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641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649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635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635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69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647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58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4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639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6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53</w:t>
            </w:r>
          </w:p>
        </w:tc>
      </w:tr>
      <w:tr w:rsidR="00587DE5" w:rsidRPr="00012E66" w:rsidTr="00D73636">
        <w:tc>
          <w:tcPr>
            <w:tcW w:w="648" w:type="dxa"/>
          </w:tcPr>
          <w:p w:rsidR="00587DE5" w:rsidRPr="00012E66" w:rsidRDefault="00587DE5" w:rsidP="00F80821">
            <w:pPr>
              <w:jc w:val="center"/>
            </w:pPr>
            <w:r w:rsidRPr="00012E66">
              <w:t>1.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644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8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1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9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635" w:type="dxa"/>
            <w:gridSpan w:val="2"/>
          </w:tcPr>
          <w:p w:rsidR="00587DE5" w:rsidRPr="00012E66" w:rsidRDefault="00587DE5" w:rsidP="00A73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5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7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8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9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587DE5" w:rsidRDefault="00587DE5" w:rsidP="00F80821">
      <w:pPr>
        <w:jc w:val="center"/>
      </w:pPr>
    </w:p>
    <w:p w:rsidR="00587DE5" w:rsidRDefault="00587DE5" w:rsidP="00F80821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5"/>
        <w:gridCol w:w="720"/>
        <w:gridCol w:w="900"/>
        <w:gridCol w:w="720"/>
        <w:gridCol w:w="851"/>
        <w:gridCol w:w="49"/>
        <w:gridCol w:w="720"/>
        <w:gridCol w:w="856"/>
        <w:gridCol w:w="764"/>
        <w:gridCol w:w="726"/>
        <w:gridCol w:w="714"/>
        <w:gridCol w:w="900"/>
        <w:gridCol w:w="720"/>
        <w:gridCol w:w="900"/>
        <w:gridCol w:w="900"/>
        <w:gridCol w:w="900"/>
        <w:gridCol w:w="720"/>
        <w:gridCol w:w="720"/>
        <w:gridCol w:w="900"/>
        <w:gridCol w:w="900"/>
      </w:tblGrid>
      <w:tr w:rsidR="00587DE5" w:rsidRPr="00012E66" w:rsidTr="00D73636">
        <w:tc>
          <w:tcPr>
            <w:tcW w:w="633" w:type="dxa"/>
            <w:vMerge w:val="restart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№ з/п</w:t>
            </w:r>
          </w:p>
        </w:tc>
        <w:tc>
          <w:tcPr>
            <w:tcW w:w="12795" w:type="dxa"/>
            <w:gridSpan w:val="18"/>
          </w:tcPr>
          <w:p w:rsidR="00587DE5" w:rsidRPr="00012E66" w:rsidRDefault="00587DE5" w:rsidP="00F80821">
            <w:pPr>
              <w:tabs>
                <w:tab w:val="center" w:pos="7189"/>
                <w:tab w:val="left" w:pos="8880"/>
              </w:tabs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у тому числі питання:</w:t>
            </w:r>
          </w:p>
        </w:tc>
        <w:tc>
          <w:tcPr>
            <w:tcW w:w="1800" w:type="dxa"/>
            <w:gridSpan w:val="2"/>
            <w:vMerge w:val="restart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Штатна чисельність відділу роботи  зі зверненнями громадян</w:t>
            </w:r>
          </w:p>
        </w:tc>
      </w:tr>
      <w:tr w:rsidR="00587DE5" w:rsidRPr="00012E66" w:rsidTr="00D73636">
        <w:tc>
          <w:tcPr>
            <w:tcW w:w="633" w:type="dxa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5" w:type="dxa"/>
            <w:gridSpan w:val="3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сім'ї, дітей, молоді, гендерної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рівності, фізичної культури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і спорту</w:t>
            </w:r>
          </w:p>
        </w:tc>
        <w:tc>
          <w:tcPr>
            <w:tcW w:w="1571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освіти, наукової, науково-технічної,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інноваційної діяльності та інтелектуальної власності</w:t>
            </w:r>
          </w:p>
        </w:tc>
        <w:tc>
          <w:tcPr>
            <w:tcW w:w="1625" w:type="dxa"/>
            <w:gridSpan w:val="3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діяльності об’єднань громадян, релігії та міжконфесійних відносин</w:t>
            </w:r>
          </w:p>
        </w:tc>
        <w:tc>
          <w:tcPr>
            <w:tcW w:w="1490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діяльності центральних органів виконавчої влади</w:t>
            </w:r>
          </w:p>
        </w:tc>
        <w:tc>
          <w:tcPr>
            <w:tcW w:w="1614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діяльності місцевих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органів виконавчої влади</w:t>
            </w:r>
          </w:p>
        </w:tc>
        <w:tc>
          <w:tcPr>
            <w:tcW w:w="1620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діяльності органів місцевого</w:t>
            </w:r>
          </w:p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самоврядування</w:t>
            </w:r>
          </w:p>
        </w:tc>
        <w:tc>
          <w:tcPr>
            <w:tcW w:w="1800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державного будівництва, адміністративно-територіального устрою</w:t>
            </w:r>
          </w:p>
        </w:tc>
        <w:tc>
          <w:tcPr>
            <w:tcW w:w="1440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 w:rsidRPr="00012E66">
              <w:rPr>
                <w:sz w:val="20"/>
                <w:szCs w:val="20"/>
              </w:rPr>
              <w:t>інші</w:t>
            </w:r>
          </w:p>
        </w:tc>
        <w:tc>
          <w:tcPr>
            <w:tcW w:w="1800" w:type="dxa"/>
            <w:gridSpan w:val="2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</w:tr>
      <w:tr w:rsidR="00587DE5" w:rsidRPr="00012E66" w:rsidTr="00B90549">
        <w:tc>
          <w:tcPr>
            <w:tcW w:w="648" w:type="dxa"/>
            <w:gridSpan w:val="2"/>
            <w:vMerge w:val="restart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  <w:gridSpan w:val="2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856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64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6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14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720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  <w:tc>
          <w:tcPr>
            <w:tcW w:w="900" w:type="dxa"/>
            <w:vAlign w:val="center"/>
          </w:tcPr>
          <w:p w:rsidR="00587DE5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</w:t>
            </w:r>
          </w:p>
          <w:p w:rsidR="00587DE5" w:rsidRPr="00012E66" w:rsidRDefault="00587DE5" w:rsidP="00F8082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Ікв.</w:t>
            </w:r>
          </w:p>
        </w:tc>
      </w:tr>
      <w:tr w:rsidR="00587DE5" w:rsidRPr="00012E66" w:rsidTr="00D73636">
        <w:tc>
          <w:tcPr>
            <w:tcW w:w="648" w:type="dxa"/>
            <w:gridSpan w:val="2"/>
            <w:vMerge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900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85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764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2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714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  <w:lang w:val="en-US"/>
              </w:rPr>
            </w:pPr>
            <w:r w:rsidRPr="00012E66">
              <w:rPr>
                <w:sz w:val="20"/>
                <w:szCs w:val="20"/>
                <w:lang w:val="en-US"/>
              </w:rPr>
              <w:t>71</w:t>
            </w:r>
          </w:p>
        </w:tc>
      </w:tr>
      <w:tr w:rsidR="00587DE5" w:rsidRPr="00012E66" w:rsidTr="00D73636">
        <w:tc>
          <w:tcPr>
            <w:tcW w:w="648" w:type="dxa"/>
            <w:gridSpan w:val="2"/>
          </w:tcPr>
          <w:p w:rsidR="00587DE5" w:rsidRPr="00012E66" w:rsidRDefault="00587DE5" w:rsidP="00F80821">
            <w:pPr>
              <w:jc w:val="center"/>
            </w:pPr>
            <w:r w:rsidRPr="00012E66">
              <w:t>1.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gridSpan w:val="2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64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4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587DE5" w:rsidRPr="00012E66" w:rsidRDefault="00587DE5" w:rsidP="00F808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*-</w:t>
            </w:r>
          </w:p>
        </w:tc>
      </w:tr>
    </w:tbl>
    <w:p w:rsidR="00587DE5" w:rsidRDefault="00587DE5" w:rsidP="00180E1F">
      <w:pPr>
        <w:jc w:val="both"/>
        <w:rPr>
          <w:sz w:val="8"/>
          <w:szCs w:val="8"/>
        </w:rPr>
      </w:pPr>
    </w:p>
    <w:p w:rsidR="00587DE5" w:rsidRPr="009A1851" w:rsidRDefault="00587DE5" w:rsidP="00180E1F">
      <w:pPr>
        <w:jc w:val="both"/>
        <w:rPr>
          <w:sz w:val="8"/>
          <w:szCs w:val="8"/>
        </w:rPr>
      </w:pPr>
    </w:p>
    <w:p w:rsidR="00587DE5" w:rsidRPr="003F2CF0" w:rsidRDefault="00587DE5" w:rsidP="009A1851">
      <w:pPr>
        <w:pStyle w:val="BodyTextIndent"/>
        <w:spacing w:after="0"/>
        <w:ind w:left="0"/>
        <w:jc w:val="both"/>
        <w:rPr>
          <w:lang w:val="uk-UA" w:eastAsia="uk-UA"/>
        </w:rPr>
      </w:pPr>
      <w:r w:rsidRPr="003F2CF0">
        <w:rPr>
          <w:lang w:val="uk-UA" w:eastAsia="uk-UA"/>
        </w:rPr>
        <w:t>Примітка:</w:t>
      </w:r>
    </w:p>
    <w:p w:rsidR="00587DE5" w:rsidRPr="00AC3E7D" w:rsidRDefault="00587DE5" w:rsidP="00AC3E7D">
      <w:pPr>
        <w:jc w:val="both"/>
      </w:pPr>
      <w:r w:rsidRPr="003F2CF0">
        <w:t>* - у зв’язку із зміною структури районної державної адміністрації  та скороченням штатної чисельності районної державної адміністрації  сектор роботи із зверненнями громадян апарату районної державної адміністрації ліквідовано та  введено посаду головного спеціаліста з питань звернень громадян  загального відділу апарату райдержадміністрації</w:t>
      </w:r>
    </w:p>
    <w:p w:rsidR="00587DE5" w:rsidRDefault="00587DE5" w:rsidP="0021357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87DE5" w:rsidRPr="00760C0C" w:rsidRDefault="00587DE5" w:rsidP="00960C79"/>
    <w:p w:rsidR="00587DE5" w:rsidRPr="00760C0C" w:rsidRDefault="00587DE5" w:rsidP="00960C79"/>
    <w:sectPr w:rsidR="00587DE5" w:rsidRPr="00760C0C" w:rsidSect="009D7854">
      <w:pgSz w:w="16838" w:h="11906" w:orient="landscape"/>
      <w:pgMar w:top="71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B8"/>
    <w:rsid w:val="00012E66"/>
    <w:rsid w:val="00065961"/>
    <w:rsid w:val="000E25DF"/>
    <w:rsid w:val="000F4990"/>
    <w:rsid w:val="000F4D20"/>
    <w:rsid w:val="00152E9C"/>
    <w:rsid w:val="00180E1F"/>
    <w:rsid w:val="001D6B84"/>
    <w:rsid w:val="001F0C9C"/>
    <w:rsid w:val="0021357F"/>
    <w:rsid w:val="00285D46"/>
    <w:rsid w:val="002A7246"/>
    <w:rsid w:val="002C628C"/>
    <w:rsid w:val="002F1E7A"/>
    <w:rsid w:val="00300E4D"/>
    <w:rsid w:val="00321766"/>
    <w:rsid w:val="00333128"/>
    <w:rsid w:val="003B7AB5"/>
    <w:rsid w:val="003D5964"/>
    <w:rsid w:val="003F2CF0"/>
    <w:rsid w:val="00446D9C"/>
    <w:rsid w:val="004D5DF1"/>
    <w:rsid w:val="0053794C"/>
    <w:rsid w:val="0057588B"/>
    <w:rsid w:val="00587DE5"/>
    <w:rsid w:val="005D21C3"/>
    <w:rsid w:val="005E4AD3"/>
    <w:rsid w:val="006254D0"/>
    <w:rsid w:val="00666A73"/>
    <w:rsid w:val="00760C0C"/>
    <w:rsid w:val="007921B2"/>
    <w:rsid w:val="007E5B95"/>
    <w:rsid w:val="00800AED"/>
    <w:rsid w:val="00871DB8"/>
    <w:rsid w:val="00891E29"/>
    <w:rsid w:val="008A6203"/>
    <w:rsid w:val="0091142F"/>
    <w:rsid w:val="0092490A"/>
    <w:rsid w:val="00960C79"/>
    <w:rsid w:val="009A1851"/>
    <w:rsid w:val="009C2D94"/>
    <w:rsid w:val="009D7854"/>
    <w:rsid w:val="00A30A6C"/>
    <w:rsid w:val="00A52795"/>
    <w:rsid w:val="00A739EB"/>
    <w:rsid w:val="00A9465D"/>
    <w:rsid w:val="00AC3E7D"/>
    <w:rsid w:val="00AE71A1"/>
    <w:rsid w:val="00B14AB3"/>
    <w:rsid w:val="00B90549"/>
    <w:rsid w:val="00BA4581"/>
    <w:rsid w:val="00C64D72"/>
    <w:rsid w:val="00CB053A"/>
    <w:rsid w:val="00CD4D99"/>
    <w:rsid w:val="00D04955"/>
    <w:rsid w:val="00D04F88"/>
    <w:rsid w:val="00D24D0A"/>
    <w:rsid w:val="00D6657A"/>
    <w:rsid w:val="00D73636"/>
    <w:rsid w:val="00D80845"/>
    <w:rsid w:val="00DB30B0"/>
    <w:rsid w:val="00E02715"/>
    <w:rsid w:val="00E33F3F"/>
    <w:rsid w:val="00EA5E39"/>
    <w:rsid w:val="00EB6178"/>
    <w:rsid w:val="00EC0481"/>
    <w:rsid w:val="00EF6BAB"/>
    <w:rsid w:val="00EF6DBC"/>
    <w:rsid w:val="00F443E3"/>
    <w:rsid w:val="00F70C88"/>
    <w:rsid w:val="00F71562"/>
    <w:rsid w:val="00F80821"/>
    <w:rsid w:val="00FD2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2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0E1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E29"/>
    <w:pPr>
      <w:keepNext/>
      <w:ind w:left="3540" w:hanging="3540"/>
      <w:outlineLvl w:val="1"/>
    </w:pPr>
    <w:rPr>
      <w:b/>
      <w:bCs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80E1F"/>
    <w:rPr>
      <w:rFonts w:ascii="Cambria" w:hAnsi="Cambria" w:cs="Times New Roman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1E29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891E29"/>
    <w:pPr>
      <w:spacing w:after="120"/>
    </w:pPr>
    <w:rPr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91E2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91E29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1E2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891E29"/>
    <w:pPr>
      <w:jc w:val="center"/>
    </w:pPr>
    <w:rPr>
      <w:b/>
      <w:bCs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1E29"/>
    <w:rPr>
      <w:rFonts w:ascii="Times New Roman" w:hAnsi="Times New Roman" w:cs="Times New Roman"/>
      <w:b/>
      <w:bCs/>
      <w:sz w:val="28"/>
      <w:szCs w:val="28"/>
      <w:lang w:val="uk-UA" w:eastAsia="ru-RU"/>
    </w:rPr>
  </w:style>
  <w:style w:type="table" w:styleId="TableGrid">
    <w:name w:val="Table Grid"/>
    <w:basedOn w:val="TableNormal"/>
    <w:uiPriority w:val="99"/>
    <w:rsid w:val="00891E2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00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E4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136</TotalTime>
  <Pages>4</Pages>
  <Words>1088</Words>
  <Characters>6208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2015-04-07T06:03:00Z</cp:lastPrinted>
  <dcterms:created xsi:type="dcterms:W3CDTF">2014-04-16T13:33:00Z</dcterms:created>
  <dcterms:modified xsi:type="dcterms:W3CDTF">2015-04-28T10:52:00Z</dcterms:modified>
</cp:coreProperties>
</file>