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Доброго дня!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Мій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сусід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орендує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земельну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ділянку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вже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декілька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років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але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тиждень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тому до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нього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приїхали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невідомі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люди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документами і заявили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що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віднині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вони</w:t>
      </w:r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є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орендарями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.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Він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звернувся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поліції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, там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зареєстрували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заяву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і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більше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нічого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.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Цього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року я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теж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планував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взяти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землю в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оренду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але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тепер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 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побоююсь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. </w:t>
      </w:r>
      <w:proofErr w:type="spellStart"/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</w:t>
      </w:r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ідкажіть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, як бути?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Петро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Василишин</w:t>
      </w:r>
      <w:proofErr w:type="spellEnd"/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Що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таке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 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самові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льне</w:t>
      </w:r>
      <w:proofErr w:type="spellEnd"/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зайняття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св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ідчать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фактичне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використання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відсутності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відповідного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органу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виконавчої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влади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органу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місцевого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самоврядування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передачу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власність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надання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користування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(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оренду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)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відсутності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вчиненого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правочину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щодо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винятком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відповідно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закону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правомірними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Що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таке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подвійна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державна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реєстрація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права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оренди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земельних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ділянок</w:t>
      </w:r>
      <w:proofErr w:type="spellEnd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?</w:t>
      </w:r>
      <w:proofErr w:type="gramEnd"/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Нагадаю, право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власності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також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постійного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користування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право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оренди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ідлягають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обов’язковій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Подвійна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оренди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ділянок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-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наявність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двох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зареєстрованих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оренди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ізними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орендарями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Як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запобігти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подвійній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реєстрації</w:t>
      </w:r>
      <w:proofErr w:type="spellEnd"/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?</w:t>
      </w:r>
      <w:proofErr w:type="gramEnd"/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Перед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укладанням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договору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оренди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державною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цього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права рекомендую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попередньо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отримати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витяг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Державного земельного кадастру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задля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того,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щоб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володіти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повною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інформацію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Як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захистити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своє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право?         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Законодавство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передбачає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два шляхи 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захисту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- 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досудовому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 та судовому порядку.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Досудовий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порядок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передбачає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звернення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</w:t>
      </w:r>
    </w:p>
    <w:p w:rsidR="002664A3" w:rsidRPr="002664A3" w:rsidRDefault="002664A3" w:rsidP="002664A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правоохоронних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органі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2664A3" w:rsidRPr="002664A3" w:rsidRDefault="002664A3" w:rsidP="002664A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Комісії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питань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розгляду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скарг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сфері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державної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реєстрації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 при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Міністерстві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юстиції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України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2664A3" w:rsidRPr="002664A3" w:rsidRDefault="002664A3" w:rsidP="002664A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регіональних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оперативних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штабів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працюють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режимі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оперативного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реагування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спроби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рейдерських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захоплень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земель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вирощеного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врожаю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.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Контакти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штабів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шукайте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сайті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Головного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територіально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управління юстиції 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Вашій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області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2664A3" w:rsidRPr="002664A3" w:rsidRDefault="002664A3" w:rsidP="002664A3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мобільних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точок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доступу до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системи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безоплатної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правової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допомоги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метою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повідомлення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факт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рейдерської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атаки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консультування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щодо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подальших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Крім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того,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реальний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власник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може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звернутися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суб’єкта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нотаріуса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заявою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заборону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вчинення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реєстраційних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яка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невідкладно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реєструється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в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базі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даних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Державного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речових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нерухоме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майно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Які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розглядає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Комі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</w:t>
      </w:r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ія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Мін’юст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розглядає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</w:t>
      </w:r>
    </w:p>
    <w:p w:rsidR="002664A3" w:rsidRPr="002664A3" w:rsidRDefault="002664A3" w:rsidP="002664A3">
      <w:pPr>
        <w:numPr>
          <w:ilvl w:val="0"/>
          <w:numId w:val="2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реєстраторів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речових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нерухоме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майно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обтяжень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2664A3" w:rsidRPr="002664A3" w:rsidRDefault="002664A3" w:rsidP="002664A3">
      <w:pPr>
        <w:numPr>
          <w:ilvl w:val="0"/>
          <w:numId w:val="2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бездіяльність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Головних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територіальних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управлінь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юстиції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Міністерства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юстиції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(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питань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розгляду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належать 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компетенції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).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Проте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компетенції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Міністерства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юстиції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не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>відноситься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розгляд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</w:t>
      </w:r>
    </w:p>
    <w:p w:rsidR="002664A3" w:rsidRPr="002664A3" w:rsidRDefault="002664A3" w:rsidP="002664A3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державного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реєстратора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прав, коли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набуто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підставі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суду;</w:t>
      </w:r>
    </w:p>
    <w:p w:rsidR="002664A3" w:rsidRPr="002664A3" w:rsidRDefault="002664A3" w:rsidP="002664A3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коли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наявний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судовий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спі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spellEnd"/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2664A3" w:rsidRPr="002664A3" w:rsidRDefault="002664A3" w:rsidP="002664A3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розгляд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реєстраційні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проведені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ідставі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суду.</w:t>
      </w:r>
    </w:p>
    <w:p w:rsidR="002664A3" w:rsidRPr="002664A3" w:rsidRDefault="002664A3" w:rsidP="002664A3">
      <w:pPr>
        <w:numPr>
          <w:ilvl w:val="0"/>
          <w:numId w:val="3"/>
        </w:numPr>
        <w:shd w:val="clear" w:color="auto" w:fill="FFFFFF"/>
        <w:spacing w:after="75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Який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порядок і форма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подачі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до</w:t>
      </w:r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Комісії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Мін’юсту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бездіяльність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державного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реєстратора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суб’єкта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територіального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органу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Міністерства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юстиції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подається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особою, яка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вважає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права порушено.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подається</w:t>
      </w:r>
      <w:proofErr w:type="spellEnd"/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формою,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встановленою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законом.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Вимоги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оформлення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розміщені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сайті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Міністерства:</w:t>
      </w:r>
      <w:hyperlink r:id="rId5" w:history="1">
        <w:r w:rsidRPr="002664A3">
          <w:rPr>
            <w:rFonts w:ascii="Verdana" w:eastAsia="Times New Roman" w:hAnsi="Verdana" w:cs="Times New Roman"/>
            <w:color w:val="550055"/>
            <w:sz w:val="17"/>
            <w:lang w:val="ru-RU" w:eastAsia="ru-RU"/>
          </w:rPr>
          <w:t>https</w:t>
        </w:r>
        <w:proofErr w:type="spellEnd"/>
        <w:r w:rsidRPr="002664A3">
          <w:rPr>
            <w:rFonts w:ascii="Verdana" w:eastAsia="Times New Roman" w:hAnsi="Verdana" w:cs="Times New Roman"/>
            <w:color w:val="550055"/>
            <w:sz w:val="17"/>
            <w:lang w:val="ru-RU" w:eastAsia="ru-RU"/>
          </w:rPr>
          <w:t>://</w:t>
        </w:r>
        <w:proofErr w:type="spellStart"/>
        <w:r w:rsidRPr="002664A3">
          <w:rPr>
            <w:rFonts w:ascii="Verdana" w:eastAsia="Times New Roman" w:hAnsi="Verdana" w:cs="Times New Roman"/>
            <w:color w:val="550055"/>
            <w:sz w:val="17"/>
            <w:lang w:val="ru-RU" w:eastAsia="ru-RU"/>
          </w:rPr>
          <w:t>minjust.gov.ua</w:t>
        </w:r>
        <w:proofErr w:type="spellEnd"/>
        <w:r w:rsidRPr="002664A3">
          <w:rPr>
            <w:rFonts w:ascii="Verdana" w:eastAsia="Times New Roman" w:hAnsi="Verdana" w:cs="Times New Roman"/>
            <w:color w:val="550055"/>
            <w:sz w:val="17"/>
            <w:lang w:val="ru-RU" w:eastAsia="ru-RU"/>
          </w:rPr>
          <w:t>/</w:t>
        </w:r>
        <w:proofErr w:type="spellStart"/>
        <w:r w:rsidRPr="002664A3">
          <w:rPr>
            <w:rFonts w:ascii="Verdana" w:eastAsia="Times New Roman" w:hAnsi="Verdana" w:cs="Times New Roman"/>
            <w:color w:val="550055"/>
            <w:sz w:val="17"/>
            <w:lang w:val="ru-RU" w:eastAsia="ru-RU"/>
          </w:rPr>
          <w:t>m</w:t>
        </w:r>
        <w:proofErr w:type="spellEnd"/>
        <w:r w:rsidRPr="002664A3">
          <w:rPr>
            <w:rFonts w:ascii="Verdana" w:eastAsia="Times New Roman" w:hAnsi="Verdana" w:cs="Times New Roman"/>
            <w:color w:val="550055"/>
            <w:sz w:val="17"/>
            <w:lang w:val="ru-RU" w:eastAsia="ru-RU"/>
          </w:rPr>
          <w:t>/4626</w:t>
        </w:r>
      </w:hyperlink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Звертаю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увагу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скарга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, 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подана</w:t>
      </w:r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без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урахування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зазначених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вимог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Комісією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по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суті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не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розглядається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!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Які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строки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звернення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до</w:t>
      </w:r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Комісії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  </w:t>
      </w:r>
    </w:p>
    <w:p w:rsidR="002664A3" w:rsidRPr="002664A3" w:rsidRDefault="002664A3" w:rsidP="002664A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60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календарних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днів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бездіяльність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державного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реєстратора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суб’єкта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;</w:t>
      </w:r>
    </w:p>
    <w:p w:rsidR="002664A3" w:rsidRPr="002664A3" w:rsidRDefault="002664A3" w:rsidP="002664A3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15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календарних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днів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бездіяльність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територіальних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органів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Мін’юсту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Відлік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часу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починається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дня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прийняття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дня коли особа могла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дізнатися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порушення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lastRenderedPageBreak/>
        <w:t>Які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строки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розгляду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Загальний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строк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розгляду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вирішення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–</w:t>
      </w:r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 45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календарних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днів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моменту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надходження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Комісія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готує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висновок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протягом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2-3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тижнів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на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ідставі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Мін’юст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приймає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формі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наказу.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надсилається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скаржнику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протягом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3-х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робочих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днів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дня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його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прийняття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. Особа, яка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звернулась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скаргою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 не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згодна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Міністерства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юстиції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 вона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може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звернутись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суду.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Коли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може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бути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відмовлено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розгляді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  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Існує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низка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випадкі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коли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Мін’юст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може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відмовити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розгляді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випадки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коли закон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зобов’язує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відмовити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задоволенні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.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Найчастіше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ідставою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недотримання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встановлених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законом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вимог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оформлення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скарги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Куди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можна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звернутись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консультацією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питань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діяльності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Комісії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Мін’юсту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Необхідну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інформацію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контакти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можна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знайти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офіційному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веб-сайті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Міністерства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посиланням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 </w:t>
      </w:r>
      <w:hyperlink r:id="rId6" w:history="1">
        <w:r w:rsidRPr="002664A3">
          <w:rPr>
            <w:rFonts w:ascii="Verdana" w:eastAsia="Times New Roman" w:hAnsi="Verdana" w:cs="Times New Roman"/>
            <w:color w:val="550055"/>
            <w:sz w:val="17"/>
            <w:lang w:val="ru-RU" w:eastAsia="ru-RU"/>
          </w:rPr>
          <w:t>https://minjust.gov.ua/pages/commission_civil_register</w:t>
        </w:r>
      </w:hyperlink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Як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захистити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своє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право через суд?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Особа,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права порушено,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може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звернутися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суду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позовом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скасування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документів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підставі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проведено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скасування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записів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проведену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державну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реєстрацію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прав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позовом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звільнення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зайнятої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якого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суду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звертатись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  </w:t>
      </w:r>
    </w:p>
    <w:p w:rsidR="002664A3" w:rsidRPr="002664A3" w:rsidRDefault="002664A3" w:rsidP="002664A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>господарського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 суду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якщо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сторонами спору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є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юридичні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особи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та\або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громадяни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–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суб’єкти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ідприємницької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діяльності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>адміністративного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 суду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якщо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оскаржуються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ішення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бездіяльність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суб’єктів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владних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повноважень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компетентних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сфері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правовідносин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інші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випадки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до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>судів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>загальної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u w:val="single"/>
          <w:lang w:val="ru-RU" w:eastAsia="ru-RU"/>
        </w:rPr>
        <w:t>юрисдикції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 в порядку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цивільного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судочинства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Відповідальність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самовільне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зайняття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Громадяни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юридичні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особи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несуть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цивільну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адміністративну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кримінальну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відповідальність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зайняття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ділянок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0"/>
        <w:gridCol w:w="2635"/>
      </w:tblGrid>
      <w:tr w:rsidR="002664A3" w:rsidRPr="002664A3" w:rsidTr="002664A3">
        <w:tc>
          <w:tcPr>
            <w:tcW w:w="0" w:type="auto"/>
            <w:vMerge w:val="restart"/>
            <w:tcBorders>
              <w:bottom w:val="dashed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4A3" w:rsidRPr="002664A3" w:rsidRDefault="002664A3" w:rsidP="002664A3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Самові</w:t>
            </w:r>
            <w:proofErr w:type="gram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льне</w:t>
            </w:r>
            <w:proofErr w:type="spellEnd"/>
            <w:proofErr w:type="gram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зайняття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земельної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ділянки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тягне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за собою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накладення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штрафу</w:t>
            </w:r>
          </w:p>
        </w:tc>
        <w:tc>
          <w:tcPr>
            <w:tcW w:w="0" w:type="auto"/>
            <w:tcBorders>
              <w:bottom w:val="dashed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4A3" w:rsidRPr="002664A3" w:rsidRDefault="002664A3" w:rsidP="002664A3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на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громадян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lang w:val="ru-RU" w:eastAsia="ru-RU"/>
              </w:rPr>
              <w:t> </w:t>
            </w:r>
            <w:proofErr w:type="spellStart"/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від</w:t>
            </w:r>
            <w:proofErr w:type="spellEnd"/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 170 до 850 </w:t>
            </w:r>
            <w:proofErr w:type="spellStart"/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грн</w:t>
            </w:r>
            <w:proofErr w:type="spellEnd"/>
          </w:p>
        </w:tc>
      </w:tr>
      <w:tr w:rsidR="002664A3" w:rsidRPr="002664A3" w:rsidTr="002664A3">
        <w:tc>
          <w:tcPr>
            <w:tcW w:w="0" w:type="auto"/>
            <w:vMerge/>
            <w:tcBorders>
              <w:bottom w:val="dashed" w:sz="6" w:space="0" w:color="auto"/>
            </w:tcBorders>
            <w:shd w:val="clear" w:color="auto" w:fill="FFFFFF"/>
            <w:vAlign w:val="center"/>
            <w:hideMark/>
          </w:tcPr>
          <w:p w:rsidR="002664A3" w:rsidRPr="002664A3" w:rsidRDefault="002664A3" w:rsidP="002664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0" w:type="auto"/>
            <w:tcBorders>
              <w:bottom w:val="dashed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4A3" w:rsidRPr="002664A3" w:rsidRDefault="002664A3" w:rsidP="002664A3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на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посадових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proofErr w:type="gram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осіб</w:t>
            </w:r>
            <w:proofErr w:type="spellEnd"/>
            <w:proofErr w:type="gram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lang w:val="ru-RU" w:eastAsia="ru-RU"/>
              </w:rPr>
              <w:t> </w:t>
            </w:r>
            <w:proofErr w:type="spellStart"/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від</w:t>
            </w:r>
            <w:proofErr w:type="spellEnd"/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 340 до 1700 </w:t>
            </w:r>
            <w:proofErr w:type="spellStart"/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грн</w:t>
            </w:r>
            <w:proofErr w:type="spellEnd"/>
          </w:p>
        </w:tc>
      </w:tr>
      <w:tr w:rsidR="002664A3" w:rsidRPr="002664A3" w:rsidTr="002664A3">
        <w:tc>
          <w:tcPr>
            <w:tcW w:w="0" w:type="auto"/>
            <w:tcBorders>
              <w:bottom w:val="dashed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4A3" w:rsidRPr="002664A3" w:rsidRDefault="002664A3" w:rsidP="002664A3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Самовільне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зайняття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земельної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ділянки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яким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завдано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значної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шкоди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її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законному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володільцю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або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власнику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proofErr w:type="gram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карається</w:t>
            </w:r>
            <w:proofErr w:type="spellEnd"/>
            <w:proofErr w:type="gram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bottom w:val="dashed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4A3" w:rsidRPr="002664A3" w:rsidRDefault="002664A3" w:rsidP="002664A3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штрафом </w:t>
            </w:r>
            <w:proofErr w:type="spellStart"/>
            <w:r w:rsidRPr="002664A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від</w:t>
            </w:r>
            <w:proofErr w:type="spellEnd"/>
            <w:r w:rsidRPr="002664A3">
              <w:rPr>
                <w:rFonts w:ascii="Verdana" w:eastAsia="Times New Roman" w:hAnsi="Verdana" w:cs="Times New Roman"/>
                <w:color w:val="000000"/>
                <w:sz w:val="15"/>
                <w:lang w:val="ru-RU" w:eastAsia="ru-RU"/>
              </w:rPr>
              <w:t> </w:t>
            </w:r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3400 до 5100 </w:t>
            </w:r>
            <w:proofErr w:type="spellStart"/>
            <w:r w:rsidRPr="002664A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грн</w:t>
            </w:r>
            <w:proofErr w:type="spellEnd"/>
          </w:p>
        </w:tc>
      </w:tr>
    </w:tbl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арештом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 на строк</w:t>
      </w:r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 6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місяців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зайняття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вчинене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особою,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раніше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судимою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зайняття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ділянки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самочинне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будівництво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групою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осіб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щодо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ділянок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особливо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цінних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земель, земель в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охоронних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зонах, зонах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санітарної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охорони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санітарно-захисних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зонах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зонах особливого режиму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використання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земель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карається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:о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бмеженням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волі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строк</w:t>
      </w:r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2 до 4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років</w:t>
      </w:r>
      <w:proofErr w:type="spellEnd"/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позбавленням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волі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строк</w:t>
      </w:r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 2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років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будівництво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будівель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споруд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зайнятій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ділянці,яким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завдано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значної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шкоди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її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законному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володільцю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власнику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карається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:ш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трафом</w:t>
      </w: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5100 до 8500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грн</w:t>
      </w:r>
      <w:proofErr w:type="spellEnd"/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арештом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строк</w:t>
      </w:r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 6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місяці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</w:t>
      </w:r>
      <w:proofErr w:type="spellEnd"/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,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обмеженням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волі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строк</w:t>
      </w:r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до 3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років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будівництво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будівель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споруд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зайнятій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ділянці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особливо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цінних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земель, земель в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охоронних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зонах, зонах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санітарної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охорони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санітарно-захисних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зонах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чи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зонах особливого режиму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використання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земель,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вчинене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особою,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раніше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судимою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такий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злочин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самовільне</w:t>
      </w:r>
      <w:proofErr w:type="spellEnd"/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будівництво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будівель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або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споруд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самовільно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зайнятій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земельній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ділянці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карається</w:t>
      </w:r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:п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озбавленням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волі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на строк</w:t>
      </w:r>
      <w:r w:rsidRPr="002664A3">
        <w:rPr>
          <w:rFonts w:ascii="Verdana" w:eastAsia="Times New Roman" w:hAnsi="Verdana" w:cs="Times New Roman"/>
          <w:color w:val="000000"/>
          <w:sz w:val="17"/>
          <w:lang w:val="ru-RU" w:eastAsia="ru-RU"/>
        </w:rPr>
        <w:t> 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від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1 до 3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років</w:t>
      </w:r>
      <w:proofErr w:type="spellEnd"/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Куди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звертатися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за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більш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gram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детальною</w:t>
      </w:r>
      <w:proofErr w:type="gram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консультацією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роз’ясненнями</w:t>
      </w:r>
      <w:proofErr w:type="spellEnd"/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?</w:t>
      </w:r>
    </w:p>
    <w:p w:rsidR="002664A3" w:rsidRPr="002664A3" w:rsidRDefault="002664A3" w:rsidP="002664A3">
      <w:pPr>
        <w:shd w:val="clear" w:color="auto" w:fill="FFFFFF"/>
        <w:spacing w:after="0" w:line="240" w:lineRule="atLeast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Якщо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у вас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залишились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питання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цього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приводу, будь ласка,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телефонуйте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до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контакт-центру</w:t>
      </w:r>
      <w:proofErr w:type="spellEnd"/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системи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безоплатної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правової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допомоги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за номером </w:t>
      </w:r>
      <w:r w:rsidRPr="002664A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ru-RU" w:eastAsia="ru-RU"/>
        </w:rPr>
        <w:t>0 (800) 213 103</w:t>
      </w:r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,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цілодобово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безкоштовно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в межах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України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. В центрах та бюро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надання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безоплатної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правової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допомоги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по </w:t>
      </w:r>
      <w:proofErr w:type="spellStart"/>
      <w:proofErr w:type="gram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вс</w:t>
      </w:r>
      <w:proofErr w:type="gram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ій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країні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ви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можете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отримати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юридичну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консультацію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та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правовий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 xml:space="preserve"> </w:t>
      </w:r>
      <w:proofErr w:type="spellStart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захист</w:t>
      </w:r>
      <w:proofErr w:type="spellEnd"/>
      <w:r w:rsidRPr="002664A3"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  <w:t>.</w:t>
      </w:r>
    </w:p>
    <w:p w:rsidR="00341D4F" w:rsidRPr="002664A3" w:rsidRDefault="00341D4F">
      <w:pPr>
        <w:rPr>
          <w:lang w:val="ru-RU"/>
        </w:rPr>
      </w:pPr>
    </w:p>
    <w:sectPr w:rsidR="00341D4F" w:rsidRPr="002664A3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28"/>
    <w:multiLevelType w:val="multilevel"/>
    <w:tmpl w:val="B826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674D8"/>
    <w:multiLevelType w:val="multilevel"/>
    <w:tmpl w:val="7A02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D26D8B"/>
    <w:multiLevelType w:val="multilevel"/>
    <w:tmpl w:val="780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E3B40"/>
    <w:multiLevelType w:val="multilevel"/>
    <w:tmpl w:val="A7C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286649"/>
    <w:multiLevelType w:val="multilevel"/>
    <w:tmpl w:val="83D4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A3"/>
    <w:rsid w:val="001C4E35"/>
    <w:rsid w:val="002664A3"/>
    <w:rsid w:val="00341D4F"/>
    <w:rsid w:val="00883707"/>
    <w:rsid w:val="008D3E7D"/>
    <w:rsid w:val="00BC7E72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664A3"/>
  </w:style>
  <w:style w:type="character" w:styleId="a4">
    <w:name w:val="Hyperlink"/>
    <w:basedOn w:val="a0"/>
    <w:uiPriority w:val="99"/>
    <w:semiHidden/>
    <w:unhideWhenUsed/>
    <w:rsid w:val="00266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just.gov.ua/pages/commission_civil_register" TargetMode="External"/><Relationship Id="rId5" Type="http://schemas.openxmlformats.org/officeDocument/2006/relationships/hyperlink" Target="https://minjust.gov.ua/m/4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2019-05-14T07:21:00Z</dcterms:created>
  <dcterms:modified xsi:type="dcterms:W3CDTF">2019-05-14T07:29:00Z</dcterms:modified>
</cp:coreProperties>
</file>